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E3" w:rsidRPr="00463A7E" w:rsidRDefault="00F313E3" w:rsidP="00A92146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Lex Ukrajina V - připravované změny - od 1. 4. 2023</w:t>
      </w:r>
    </w:p>
    <w:p w:rsidR="00F313E3" w:rsidRPr="00463A7E" w:rsidRDefault="00F313E3" w:rsidP="00F313E3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Lex Ukrajina 5 obsahuje zejména změny zákonů č. 65/2022 Sb. a 66/2022 Sb., ale také dalších zákonů, jejichž čísla a názvy jsou uvedeny u příslušných kapitol</w:t>
      </w:r>
    </w:p>
    <w:p w:rsidR="00F313E3" w:rsidRPr="00463A7E" w:rsidRDefault="00F313E3" w:rsidP="00A92146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cs-CZ"/>
        </w:rPr>
        <w:t>Humanitární dávka (§</w:t>
      </w:r>
      <w:r w:rsidR="00441D5F" w:rsidRPr="00463A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cs-CZ"/>
        </w:rPr>
        <w:t xml:space="preserve"> </w:t>
      </w:r>
      <w:r w:rsidRPr="00463A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cs-CZ"/>
        </w:rPr>
        <w:t>6 zák. č. 66/2022 Sb.)</w:t>
      </w:r>
    </w:p>
    <w:p w:rsidR="00F313E3" w:rsidRPr="00463A7E" w:rsidRDefault="00F313E3" w:rsidP="00F313E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pro osoby s dočasnou ochranou je vytvořen zvláštní systém sociálního zabezpečení ve formě indexované humanitární dávky, nemají nárok na podporu ze standardních systémů v ČR</w:t>
      </w:r>
    </w:p>
    <w:p w:rsidR="00F313E3" w:rsidRPr="00463A7E" w:rsidRDefault="00F313E3" w:rsidP="00F313E3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Podání žádosti o dávku</w:t>
      </w:r>
    </w:p>
    <w:p w:rsidR="00F313E3" w:rsidRPr="00463A7E" w:rsidRDefault="00F313E3" w:rsidP="00F313E3">
      <w:pPr>
        <w:numPr>
          <w:ilvl w:val="0"/>
          <w:numId w:val="2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žádost o dávku je třeba podat v měsíci, za který se o dávku žádá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, jinak nárok na ni zaniká (§ 6, odst. 6). Dávku administrují krajské pobočky ÚP (§ 6, odst. 7)</w:t>
      </w:r>
    </w:p>
    <w:p w:rsidR="00F313E3" w:rsidRPr="00463A7E" w:rsidRDefault="00F313E3" w:rsidP="00F313E3">
      <w:pPr>
        <w:numPr>
          <w:ilvl w:val="0"/>
          <w:numId w:val="2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podmínka zdržovat se na území ČR se prokáže shodou adresy místa pobytu uvedené v žádosti a adresou uvedenou v základním registru obyvatel, na výzvu ÚP bude možné nesoulad odstranit (§ 6, odst. 3)</w:t>
      </w:r>
    </w:p>
    <w:p w:rsidR="00F313E3" w:rsidRPr="00463A7E" w:rsidRDefault="00F313E3" w:rsidP="00F313E3">
      <w:pPr>
        <w:numPr>
          <w:ilvl w:val="0"/>
          <w:numId w:val="2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žádost o dávku se podává pouze elektronicky, výjimkou je první žádost, kterou lze podat v listinné podobě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(§6c, odst. 1), všechny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skutečnosti se dokládají elektronicky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(§ 6c, odst. č), pokud ÚP neurčí jinak; je nutné sledovat aplikaci a dostavit se na ÚP po vyzvání (§ 6, odst. 9)</w:t>
      </w:r>
    </w:p>
    <w:p w:rsidR="00F313E3" w:rsidRPr="00463A7E" w:rsidRDefault="00F313E3" w:rsidP="00F313E3">
      <w:pPr>
        <w:numPr>
          <w:ilvl w:val="0"/>
          <w:numId w:val="2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žádosti o </w:t>
      </w:r>
      <w:r w:rsidR="00441D5F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humanitární dávku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uvádějí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identifikační údaje žadatele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adresa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místa pobytu; údaj o udělení </w:t>
      </w:r>
      <w:r w:rsidR="00441D5F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dočasné ochrany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údaj o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všech příjmech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žadatele; údaj o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zaměstnavateli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identifikace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účtů žadatele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údaje o finančních prostředcích na těchto účtech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prohlášení o majetkových poměrech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pokud má žadatel náklady na bydlení v bytě evidovaném v evidenci bytů, uvede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identifikační údaje vlastníka bytu</w:t>
      </w:r>
    </w:p>
    <w:p w:rsidR="00F313E3" w:rsidRPr="00463A7E" w:rsidRDefault="00F313E3" w:rsidP="00F313E3">
      <w:pPr>
        <w:numPr>
          <w:ilvl w:val="1"/>
          <w:numId w:val="2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všechny informace se uvádějí za žadatele a společně posuzované osoby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(bydlí spolu a spolu uhrazují </w:t>
      </w:r>
      <w:proofErr w:type="gramStart"/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náklady) (§ 6c</w:t>
      </w:r>
      <w:proofErr w:type="gramEnd"/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, odst. 2)</w:t>
      </w:r>
    </w:p>
    <w:p w:rsidR="00F313E3" w:rsidRPr="00463A7E" w:rsidRDefault="00F313E3" w:rsidP="00F313E3">
      <w:pPr>
        <w:numPr>
          <w:ilvl w:val="0"/>
          <w:numId w:val="2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dávka se vyplácí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pouze na účet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výjimkou je dávka za první kalendářní měsíc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kterou lze vyplatit v hotovosti (§ 6, odst. 7)</w:t>
      </w:r>
      <w:r w:rsidR="00441D5F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13E3" w:rsidRPr="00463A7E" w:rsidRDefault="00F313E3" w:rsidP="00F313E3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Nárok na dávku a výpočet výše dávky</w:t>
      </w:r>
    </w:p>
    <w:p w:rsidR="00F313E3" w:rsidRPr="00463A7E" w:rsidRDefault="00F313E3" w:rsidP="00F313E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Nárok na dávku je stanoven podle vzorce </w:t>
      </w:r>
      <w:proofErr w:type="spellStart"/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zohleďňujícího</w:t>
      </w:r>
      <w:proofErr w:type="spellEnd"/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tři položky: humanitární dávku, náklady na bydlení a příjmy/finanční prostředky žadatele.</w:t>
      </w:r>
    </w:p>
    <w:p w:rsidR="00F313E3" w:rsidRPr="00463A7E" w:rsidRDefault="00F313E3" w:rsidP="00F313E3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Humanitární dávka</w:t>
      </w:r>
    </w:p>
    <w:p w:rsidR="00F313E3" w:rsidRPr="00463A7E" w:rsidRDefault="00F313E3" w:rsidP="00F313E3">
      <w:pPr>
        <w:numPr>
          <w:ilvl w:val="0"/>
          <w:numId w:val="3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dávka nenáleží osobě, které je bezplatně poskytnuta celodenní strava, základní prostředky osobní hygieny a ubytování (§ 6, odst. 1)</w:t>
      </w:r>
    </w:p>
    <w:p w:rsidR="00F313E3" w:rsidRPr="00463A7E" w:rsidRDefault="00F313E3" w:rsidP="00F313E3">
      <w:pPr>
        <w:numPr>
          <w:ilvl w:val="0"/>
          <w:numId w:val="3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výše dávky v 1.</w:t>
      </w:r>
      <w:r w:rsidR="00A92146"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A92146"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6. měsíci po udělení </w:t>
      </w:r>
      <w:r w:rsidR="00A92146"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dočasné ochrany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(resp. do měsíce, ve kterém uběhne 150 dní od udělení </w:t>
      </w:r>
      <w:r w:rsidR="00E47F23">
        <w:rPr>
          <w:rFonts w:ascii="Times New Roman" w:eastAsia="Times New Roman" w:hAnsi="Times New Roman" w:cs="Times New Roman"/>
          <w:sz w:val="24"/>
          <w:szCs w:val="24"/>
          <w:lang w:eastAsia="cs-CZ"/>
        </w:rPr>
        <w:t>dočasné ochrany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): </w:t>
      </w:r>
    </w:p>
    <w:p w:rsidR="00F313E3" w:rsidRPr="00463A7E" w:rsidRDefault="00F313E3" w:rsidP="00F313E3">
      <w:pPr>
        <w:numPr>
          <w:ilvl w:val="1"/>
          <w:numId w:val="3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 výši životního minima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děti 3</w:t>
      </w:r>
      <w:r w:rsidR="00441D5F"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490 Kč, dospělí 4</w:t>
      </w:r>
      <w:r w:rsidR="00441D5F"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860 Kč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), (§ 6b, 1a, b)</w:t>
      </w:r>
    </w:p>
    <w:p w:rsidR="00F313E3" w:rsidRPr="00463A7E" w:rsidRDefault="00F313E3" w:rsidP="00F313E3">
      <w:pPr>
        <w:numPr>
          <w:ilvl w:val="1"/>
          <w:numId w:val="3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dětí 6-10 let bude dávka ve výši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1,2 násobku </w:t>
      </w:r>
      <w:r w:rsidR="00A92146"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životního minima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(4</w:t>
      </w:r>
      <w:r w:rsidR="00441D5F"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188 </w:t>
      </w:r>
      <w:proofErr w:type="gramStart"/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Kč)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(§ 6b</w:t>
      </w:r>
      <w:proofErr w:type="gramEnd"/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441D5F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odst.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1d)</w:t>
      </w:r>
    </w:p>
    <w:p w:rsidR="00F313E3" w:rsidRPr="00463A7E" w:rsidRDefault="00F313E3" w:rsidP="00F313E3">
      <w:pPr>
        <w:numPr>
          <w:ilvl w:val="1"/>
          <w:numId w:val="3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osob se zdravotním postižením (má průkaz z Ukrajiny nebo je uznán OSSZ) bude dávka ve výši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1,5 násobku </w:t>
      </w:r>
      <w:r w:rsidR="00A92146"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životního minima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(7</w:t>
      </w:r>
      <w:r w:rsidR="00441D5F"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290 Kč u </w:t>
      </w:r>
      <w:proofErr w:type="gramStart"/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dospělého)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(§ 6b</w:t>
      </w:r>
      <w:proofErr w:type="gramEnd"/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, 1c)</w:t>
      </w:r>
    </w:p>
    <w:p w:rsidR="00F313E3" w:rsidRPr="00463A7E" w:rsidRDefault="00F313E3" w:rsidP="00F313E3">
      <w:pPr>
        <w:numPr>
          <w:ilvl w:val="0"/>
          <w:numId w:val="3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7. měsíce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(situace může nastat již od 6. měsíce, když je </w:t>
      </w:r>
      <w:r w:rsidR="00E47F23">
        <w:rPr>
          <w:rFonts w:ascii="Times New Roman" w:eastAsia="Times New Roman" w:hAnsi="Times New Roman" w:cs="Times New Roman"/>
          <w:sz w:val="24"/>
          <w:szCs w:val="24"/>
          <w:lang w:eastAsia="cs-CZ"/>
        </w:rPr>
        <w:t>dočasná ochrana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udělena 1., 2., nebo 3. den v měsíci):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 dospělé 18</w:t>
      </w:r>
      <w:r w:rsidR="00A92146"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A92146"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65 let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po 6 měsících snižuje na existenční minimum (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441D5F"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130 Kč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) - jsou však definovány výjimky, zranitelné skupiny, u nichž se dávka nesnižuje a zůstává na</w:t>
      </w:r>
      <w:r w:rsidR="00E47F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životním minimu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313E3" w:rsidRPr="00463A7E" w:rsidRDefault="00F313E3" w:rsidP="00F313E3">
      <w:pPr>
        <w:numPr>
          <w:ilvl w:val="1"/>
          <w:numId w:val="3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studující (žáci povinné školní docházky, studenti)</w:t>
      </w:r>
    </w:p>
    <w:p w:rsidR="00F313E3" w:rsidRPr="00463A7E" w:rsidRDefault="00F313E3" w:rsidP="00F313E3">
      <w:pPr>
        <w:numPr>
          <w:ilvl w:val="1"/>
          <w:numId w:val="3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pečující o dítě do 6 let</w:t>
      </w:r>
    </w:p>
    <w:p w:rsidR="00F313E3" w:rsidRPr="00463A7E" w:rsidRDefault="00F313E3" w:rsidP="00F313E3">
      <w:pPr>
        <w:numPr>
          <w:ilvl w:val="1"/>
          <w:numId w:val="3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těhotné</w:t>
      </w:r>
    </w:p>
    <w:p w:rsidR="00F313E3" w:rsidRPr="00463A7E" w:rsidRDefault="00F313E3" w:rsidP="00F313E3">
      <w:pPr>
        <w:numPr>
          <w:ilvl w:val="1"/>
          <w:numId w:val="3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senioři starší 65 let</w:t>
      </w:r>
    </w:p>
    <w:p w:rsidR="00F313E3" w:rsidRPr="00463A7E" w:rsidRDefault="00F313E3" w:rsidP="00F313E3">
      <w:pPr>
        <w:numPr>
          <w:ilvl w:val="1"/>
          <w:numId w:val="3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se zdrav</w:t>
      </w:r>
      <w:r w:rsidR="00A92146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otním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</w:t>
      </w:r>
      <w:r w:rsidR="00A92146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žením (držitel osvědčení z Ukrajiny nebo uznán</w:t>
      </w:r>
      <w:r w:rsidR="00A92146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OSSZ) a osoby, které o ně pečují.</w:t>
      </w:r>
    </w:p>
    <w:p w:rsidR="00F313E3" w:rsidRPr="00463A7E" w:rsidRDefault="00F313E3" w:rsidP="00F313E3">
      <w:pPr>
        <w:numPr>
          <w:ilvl w:val="0"/>
          <w:numId w:val="3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příslušná výše dávky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určí podle výše uvedených pravidel, pro společně posuzované členy rodiny se výše dávek sčítají - , viz níže</w:t>
      </w:r>
    </w:p>
    <w:p w:rsidR="00A92146" w:rsidRPr="00463A7E" w:rsidRDefault="00A92146" w:rsidP="00F313E3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313E3" w:rsidRPr="00463A7E" w:rsidRDefault="00F313E3" w:rsidP="00F313E3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Náklady na bydlení</w:t>
      </w:r>
    </w:p>
    <w:p w:rsidR="00F313E3" w:rsidRPr="00463A7E" w:rsidRDefault="00F313E3" w:rsidP="00F313E3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započitatelné náklady na bydlení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použijí se pro osobu bydlící v bytě zařazeném v evidenci bytů (§ 6b, odst.</w:t>
      </w:r>
      <w:r w:rsidR="00A92146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2)</w:t>
      </w:r>
    </w:p>
    <w:p w:rsidR="00F313E3" w:rsidRPr="00463A7E" w:rsidRDefault="00F313E3" w:rsidP="00F313E3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započitatelné náklady na ubytování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použijí se pro osobu bydlící v ostatních prostorech k ubytování, která je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nezletilá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patří do výše vyjmenovaných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zranitelných skupin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výdělečně činná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 zařazena ÚP jako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uchazeč o zaměstnání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(§ 6b, odst.</w:t>
      </w:r>
      <w:r w:rsidR="00A92146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2)</w:t>
      </w:r>
    </w:p>
    <w:p w:rsidR="00F313E3" w:rsidRPr="00463A7E" w:rsidRDefault="00F313E3" w:rsidP="00F313E3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částka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započitatelných nákladů na bydlení/ubytování bude vypočtená pro všechny společně posuzované osoby podle typu ubytování a počtu osob, přesná pravidla nejsou známa. Částky budou </w:t>
      </w:r>
      <w:r w:rsidR="00A92146"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stanoveny nařízením v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lády (§ 6b, odst.</w:t>
      </w:r>
      <w:r w:rsidR="00A92146"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3)</w:t>
      </w:r>
    </w:p>
    <w:p w:rsidR="00F313E3" w:rsidRPr="00463A7E" w:rsidRDefault="00F313E3" w:rsidP="00F313E3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Příjmy a finanční prostředky</w:t>
      </w:r>
    </w:p>
    <w:p w:rsidR="00F313E3" w:rsidRPr="00463A7E" w:rsidRDefault="00F313E3" w:rsidP="00F313E3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příjmy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- veškeré příjmy jednotlivce, u společně posuzovaných členů rodiny se započítá součet příjmů všech posuzovaných osob (z ČR i zahraničí); za příjem se nepovažuje humanitární dávka ani prostředky poskytnuté UNICEF; příjmy se zjišťují za období kalendářního měsíce předcházejícího měsíci, na který je podána žádost (§ 6, odst. 1, 5)</w:t>
      </w:r>
    </w:p>
    <w:p w:rsidR="00F313E3" w:rsidRPr="00463A7E" w:rsidRDefault="00F313E3" w:rsidP="00F313E3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prostředky na účtu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zkoumají se k datu podání žádosti, pokud bude mít žadatel (samostatný nebo společně posuzovaná domácnost) v době podání žádosti na účtu vyšší obnos než výslednou dávku vypočtenou podle vzorce, nárok na ni zaniká.</w:t>
      </w:r>
    </w:p>
    <w:p w:rsidR="00F313E3" w:rsidRPr="00463A7E" w:rsidRDefault="00F313E3" w:rsidP="00F313E3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Vzorec výpočtu výše dávky</w:t>
      </w:r>
    </w:p>
    <w:p w:rsidR="00F313E3" w:rsidRPr="00463A7E" w:rsidRDefault="00F313E3" w:rsidP="00F313E3">
      <w:pPr>
        <w:numPr>
          <w:ilvl w:val="0"/>
          <w:numId w:val="6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dávka + náklady na bydlení - </w:t>
      </w:r>
      <w:proofErr w:type="gramStart"/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příjmy = ?</w:t>
      </w:r>
      <w:proofErr w:type="gramEnd"/>
    </w:p>
    <w:p w:rsidR="00F313E3" w:rsidRPr="00463A7E" w:rsidRDefault="00F313E3" w:rsidP="00F313E3">
      <w:pPr>
        <w:numPr>
          <w:ilvl w:val="1"/>
          <w:numId w:val="6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pokud je výsledek větší než 0, výše dávky = výsledek výpočtu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4</w:t>
      </w:r>
      <w:r w:rsidR="00441D5F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860 (</w:t>
      </w:r>
      <w:r w:rsidR="00441D5F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životní minimum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) + 5</w:t>
      </w:r>
      <w:r w:rsidR="00441D5F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000 (bydlení) </w:t>
      </w:r>
      <w:r w:rsidR="00A92146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</w:t>
      </w:r>
      <w:r w:rsidR="00441D5F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000 (plat) = 3</w:t>
      </w:r>
      <w:r w:rsidR="00441D5F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860 → dávka bude vyplacena ve výši 3</w:t>
      </w:r>
      <w:r w:rsidR="00441D5F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860 Kč) - pokud je výsledek větší než 0 a menší než 50 Kč, vyplatí se dávka ve výši 50 Kč</w:t>
      </w:r>
    </w:p>
    <w:p w:rsidR="00F313E3" w:rsidRPr="00463A7E" w:rsidRDefault="00F313E3" w:rsidP="00F313E3">
      <w:pPr>
        <w:numPr>
          <w:ilvl w:val="1"/>
          <w:numId w:val="6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pokud je výsledek roven 0 nebo nižší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(příjmy pokrývají nebo převyšují započitatelné náklady na bydlení a nárokovatelnou dávku)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dávka žadateli nenáleží</w:t>
      </w:r>
    </w:p>
    <w:p w:rsidR="00F313E3" w:rsidRPr="00463A7E" w:rsidRDefault="00F313E3" w:rsidP="00F313E3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Součinnost zaměstnavatelů</w:t>
      </w:r>
    </w:p>
    <w:p w:rsidR="00F313E3" w:rsidRPr="00463A7E" w:rsidRDefault="00F313E3" w:rsidP="00F313E3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zaměstnavatel je povinen, je-li vyzván krajskou pobočkou Úřadu práce,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zaslat ÚP potvrzení o výši příjmu žadatele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dalších osob uvedených v žádosti o dávku (§ 7)</w:t>
      </w:r>
    </w:p>
    <w:p w:rsidR="00F313E3" w:rsidRPr="00463A7E" w:rsidRDefault="00F313E3" w:rsidP="00F313E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13E3" w:rsidRPr="00463A7E" w:rsidRDefault="00F313E3" w:rsidP="00F313E3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cs-CZ"/>
        </w:rPr>
        <w:t>Podpora bydlení</w:t>
      </w:r>
    </w:p>
    <w:p w:rsidR="00F313E3" w:rsidRPr="00463A7E" w:rsidRDefault="00F313E3" w:rsidP="00F313E3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Nová pravidla - stručný přehled</w:t>
      </w:r>
    </w:p>
    <w:p w:rsidR="00F313E3" w:rsidRPr="00463A7E" w:rsidRDefault="00F313E3" w:rsidP="00F313E3">
      <w:pPr>
        <w:numPr>
          <w:ilvl w:val="0"/>
          <w:numId w:val="8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finančně bude podporováno bydlení ve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sdílených solidárních domácnostech, v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bytech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 nouzovém ubytování. </w:t>
      </w:r>
    </w:p>
    <w:p w:rsidR="00F313E3" w:rsidRPr="00463A7E" w:rsidRDefault="00F313E3" w:rsidP="00F313E3">
      <w:pPr>
        <w:numPr>
          <w:ilvl w:val="0"/>
          <w:numId w:val="8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Zatímco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 sdílených solidárních domácností zůstane zachován současný systém podpory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, v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samostatných solidárních domácnostech a dalších bytech registrovaných v nově vzniklé evidenci bytů bude finanční podpora založena na principu započitatelných nákladů na bydlení, o něž bude rozšířena humanitární dávka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(vznikne-li na ni nárok).</w:t>
      </w:r>
    </w:p>
    <w:p w:rsidR="00F313E3" w:rsidRPr="00463A7E" w:rsidRDefault="00F313E3" w:rsidP="00F313E3">
      <w:pPr>
        <w:numPr>
          <w:ilvl w:val="1"/>
          <w:numId w:val="8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u sdílených solidárních domácností si o solidární příspěvek budou žádat ubytovatelé</w:t>
      </w:r>
    </w:p>
    <w:p w:rsidR="00F313E3" w:rsidRPr="00463A7E" w:rsidRDefault="00F313E3" w:rsidP="00F313E3">
      <w:pPr>
        <w:numPr>
          <w:ilvl w:val="1"/>
          <w:numId w:val="8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poskytnutí samostatné solidární domácnosti získá příspěvek držitel </w:t>
      </w:r>
      <w:r w:rsidR="00441D5F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dočasné ochrany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(pokud na něj bude mít nárok a pokud bude byt zaregistrován v nové evidenci MPSV), a ten bude ubytovateli přispívat domluvenou částkou na bydlení</w:t>
      </w:r>
    </w:p>
    <w:p w:rsidR="00F313E3" w:rsidRPr="00463A7E" w:rsidRDefault="00F313E3" w:rsidP="00F313E3">
      <w:pPr>
        <w:numPr>
          <w:ilvl w:val="0"/>
          <w:numId w:val="8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Bezplatné ubytování v nebytových prostorech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(ubytovny, hotely, penziony) bude pro dospělé osoby mimo zranitelné skupiny </w:t>
      </w:r>
      <w:proofErr w:type="spellStart"/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zastropováno</w:t>
      </w:r>
      <w:proofErr w:type="spellEnd"/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150 dní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Pracující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 nízkými příjmy)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registrovaní uchazeči o zaměstnání na ÚP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mít po vyčerpání bezplatného ubytování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nárok na finanční příspěvek na bydlení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založený na stejném principu jako v bytech - rozšíření humanitární dávky o započitatelné náklady na ubytování. </w:t>
      </w:r>
    </w:p>
    <w:p w:rsidR="00F313E3" w:rsidRPr="00463A7E" w:rsidRDefault="00F313E3" w:rsidP="00F313E3">
      <w:pPr>
        <w:numPr>
          <w:ilvl w:val="0"/>
          <w:numId w:val="8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Uznatelné náklady na bydlení a ubytování budou stanoveny nařízením vlády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- budou odlišné pro bydlení v bytech a v nebytových prostorech a budou vycházet z počtu osob. Jejich výše ani způsob výpočtu zatím nejsou známy.</w:t>
      </w:r>
    </w:p>
    <w:p w:rsidR="00F313E3" w:rsidRPr="00463A7E" w:rsidRDefault="00F313E3" w:rsidP="00F313E3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Bydlení ve sdílené solidární domácnosti a příspěvek pro solidární domácnost (§8 zák. č. 66/2022 Sb.)</w:t>
      </w:r>
    </w:p>
    <w:p w:rsidR="00F313E3" w:rsidRPr="00463A7E" w:rsidRDefault="00F313E3" w:rsidP="00F313E3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podpora zůstane nezměněna,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ubytovatel může čerpat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příspěvek</w:t>
      </w:r>
      <w:r w:rsidR="00A92146"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pokud bezplatně poskytuje ubytování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osobě/</w:t>
      </w:r>
      <w:proofErr w:type="spellStart"/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ám</w:t>
      </w:r>
      <w:proofErr w:type="spellEnd"/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441D5F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 dočasnou ochranou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bydlení s ní/nimi sdílejí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; ubytovaná osoba může hradit náklady na plyn a elektřinu</w:t>
      </w:r>
    </w:p>
    <w:p w:rsidR="00F313E3" w:rsidRPr="00463A7E" w:rsidRDefault="00F313E3" w:rsidP="00F313E3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žádost se podává elektronicky v následujícím měsíci, na který se žádá, příspěvek vyplácejí krajské pobočky ÚP,  nevyplácí se do ciziny. Počítá se s ponecháním současné úpravy výše příspěvku, způsobu jeho výpočtu i minimální délky poskytnutí ubytování</w:t>
      </w:r>
    </w:p>
    <w:p w:rsidR="00F313E3" w:rsidRPr="00463A7E" w:rsidRDefault="00F313E3" w:rsidP="00F313E3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příspěvek není považován za příjem pro účely zákona o státní sociální podpoře, zákona o pomoci v hmotné nouzi, zákona o poskytování dávek osobám se zdravotním postižením a zákona o sociálních službách (§ 8, odst. 5)</w:t>
      </w:r>
    </w:p>
    <w:p w:rsidR="00F313E3" w:rsidRPr="00463A7E" w:rsidRDefault="00F313E3" w:rsidP="00F313E3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Bydlení v samostatném bytě a podpora skrze započitatelné náklady na bydlení</w:t>
      </w:r>
    </w:p>
    <w:p w:rsidR="00F313E3" w:rsidRPr="00463A7E" w:rsidRDefault="00F313E3" w:rsidP="00F313E3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zavádí se nová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Evidence bytů pro dočasnou ochranu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kterou spravuje MPSV (§ 6a zák. č. 66/2022 Sb.) - do evidence majitelé bytů vkládají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byty poskytované osobám s</w:t>
      </w:r>
      <w:r w:rsidR="00A92146"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dočasnou ochranou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 samostatnému bydlení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(týká se to i dosavadních solidárních domácností, kde ubytovatel nesdílí byt s uprchlíky); musí jít o prostory zkolaudované jako byt</w:t>
      </w:r>
    </w:p>
    <w:p w:rsidR="00F313E3" w:rsidRPr="00463A7E" w:rsidRDefault="00F313E3" w:rsidP="00F313E3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finanční podpora bude nově fungovat na principu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započitatelných uznatelných nákladů na bydlení, o které bude rozšířena humanitární dávka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(o příspěvek žádá držitel </w:t>
      </w:r>
      <w:r w:rsidR="00A92146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dočasné ochrany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a je vyplácen jemu) - výše započitatelných nákladů bude stanovena nařízením vlády</w:t>
      </w:r>
    </w:p>
    <w:p w:rsidR="00F313E3" w:rsidRPr="00463A7E" w:rsidRDefault="00F313E3" w:rsidP="00F313E3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vlastník bytu do evidence zadává: své identifikační údaje, adresu bytu a číslo bytu, pokud existuje, písemný právní titul k užívání bytu a identifikační údaje cizinců s dočasnou ochranou, kterým byl byt k bydlení poskytnut, číslo vízového štítku a údaje o začátku a ukončení bydlení.</w:t>
      </w:r>
    </w:p>
    <w:p w:rsidR="00F313E3" w:rsidRPr="00463A7E" w:rsidRDefault="00F313E3" w:rsidP="00F313E3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Bydlení v nouzovém ubytování - po 150 dnech bezplatného ubytování podpora pracujících a uchazečů o zaměstnání skrze započitatelné náklady na ubytování (§ 6b zák. č. 65/2022</w:t>
      </w:r>
      <w:r w:rsidR="00A92146"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Sb.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:rsidR="00F313E3" w:rsidRPr="00463A7E" w:rsidRDefault="00F313E3" w:rsidP="00F313E3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kapacity nouzového ubytování v krajích zajišťují hejtmani a primátor hl. m. Prahy, rozsah kapacit nouzového ubytování stanoví Vláda nařízením. Objekty pro nouzové ubytování musí být zařazeny v systému evidence nouzového ubytování (HUMPO), jedná se o nebytové ubytovací prostory (ubytovny, hotely, penziony atd.). Prostřednictvím HUMPO Ministerstvo vnitra, Hasičský záchranný sbor či Policie zabezpečují přidělení ubytování, změnu ubytování a vyřazení osoby z nouzového ubytování.</w:t>
      </w:r>
    </w:p>
    <w:p w:rsidR="00F313E3" w:rsidRPr="00463A7E" w:rsidRDefault="00F313E3" w:rsidP="00F313E3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nouzové ubytování nebytového typu bude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bezplatně poskytováno pouze 150 dní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, doba ubytování osoby ve více zařízeních se sčítá (odst. 2). Pokud osoba bez vážného důvodu odmítne přidělené ubytování nebo ubytování opustí (více než 10 dní ubytován</w:t>
      </w:r>
      <w:r w:rsidR="00A92146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í b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ez udání důvodu nevyužívá), pohlíží se na ni tak, že vyčerpala dobu 150 dnů</w:t>
      </w:r>
      <w:r w:rsidR="00A92146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13E3" w:rsidRPr="00463A7E" w:rsidRDefault="00F313E3" w:rsidP="00F313E3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maximální doba se nevztahuje na osoby s nárokem na </w:t>
      </w:r>
      <w:r w:rsidR="00441D5F"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humanitární dávku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které jsou zároveň nezletilé nebo patří do zranitelných skupin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(studující do 26 let, pečující o dítě do 6 let, těhotná, starší 65 let, invalidní, pečující o invalidní) - informace o zranitelných skupinách předává Ministerstvu vnitra Ministerstvo práce a sociálních věcí</w:t>
      </w:r>
    </w:p>
    <w:p w:rsidR="00F313E3" w:rsidRPr="00463A7E" w:rsidRDefault="00F313E3" w:rsidP="00F313E3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vyčerpání bezplatného ubytování budou moci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osoby zaměstnané a registrované na ÚP jako uchazeči o zaměstnání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splní podmínky přiznání </w:t>
      </w:r>
      <w:r w:rsidR="00441D5F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humanitární dávky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při výpočtu výše dávky zohlednit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započitatelné uznatelné náklady na ubytování</w:t>
      </w:r>
    </w:p>
    <w:p w:rsidR="00F313E3" w:rsidRPr="00463A7E" w:rsidRDefault="00F313E3" w:rsidP="00F313E3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má nárok na paušální náhradu nákladů na ubytování za osoby ubytované bezplatně</w:t>
      </w:r>
    </w:p>
    <w:p w:rsidR="00F313E3" w:rsidRPr="00463A7E" w:rsidRDefault="00F313E3" w:rsidP="00F313E3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Podpora poskytnutí dlouhodobě neobsazených bytů na trh s byty</w:t>
      </w:r>
    </w:p>
    <w:p w:rsidR="00F313E3" w:rsidRPr="00463A7E" w:rsidRDefault="00F313E3" w:rsidP="00F3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Prostředky Státního fondu podpory investic lze od 1. 4. 2023 použít i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podporu poskytnutí dlouhodobě neobsazeného bytu do nájmu nebo podnájmu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zák. č. 211/2000 Sb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§ 3, odst. 1p) </w:t>
      </w:r>
    </w:p>
    <w:p w:rsidR="00FB0588" w:rsidRPr="00463A7E" w:rsidRDefault="00FB0588" w:rsidP="00F313E3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cs-CZ"/>
        </w:rPr>
      </w:pPr>
    </w:p>
    <w:p w:rsidR="00F313E3" w:rsidRPr="00463A7E" w:rsidRDefault="00F313E3" w:rsidP="00F313E3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cs-CZ"/>
        </w:rPr>
        <w:t>KACPU (zák. č. 65/2022 Sb.)</w:t>
      </w:r>
    </w:p>
    <w:p w:rsidR="00F313E3" w:rsidRPr="00463A7E" w:rsidRDefault="00F313E3" w:rsidP="00F313E3">
      <w:pPr>
        <w:numPr>
          <w:ilvl w:val="0"/>
          <w:numId w:val="12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zázemí pro příjem a vyřizování žádostí o udělení dočasné ochrany bude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provozovat Ministerstvo vnitra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; agenda bude zahrnovat:</w:t>
      </w:r>
    </w:p>
    <w:p w:rsidR="00F313E3" w:rsidRPr="00463A7E" w:rsidRDefault="00F313E3" w:rsidP="00F313E3">
      <w:pPr>
        <w:numPr>
          <w:ilvl w:val="1"/>
          <w:numId w:val="12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vytváření kapacit pro příjem a vyřizování žádostí o udělení dočasné ochrany, </w:t>
      </w:r>
    </w:p>
    <w:p w:rsidR="00F313E3" w:rsidRPr="00463A7E" w:rsidRDefault="00F313E3" w:rsidP="00F313E3">
      <w:pPr>
        <w:numPr>
          <w:ilvl w:val="1"/>
          <w:numId w:val="12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zajišťování kapacit pro přístřeší určené pro osoby vysídlené z Ukrajiny čekající na podání žádosti o udělení dočasné ochrany a žadatele o udělení dočasné ochrany a </w:t>
      </w:r>
    </w:p>
    <w:p w:rsidR="00F313E3" w:rsidRPr="00463A7E" w:rsidRDefault="00F313E3" w:rsidP="00F313E3">
      <w:pPr>
        <w:numPr>
          <w:ilvl w:val="1"/>
          <w:numId w:val="12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zajišťování kapacit pro přidělování ubytování.</w:t>
      </w:r>
    </w:p>
    <w:p w:rsidR="00FB0588" w:rsidRPr="00463A7E" w:rsidRDefault="00FB0588" w:rsidP="00F313E3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cs-CZ"/>
        </w:rPr>
      </w:pPr>
    </w:p>
    <w:p w:rsidR="00F313E3" w:rsidRPr="00463A7E" w:rsidRDefault="00F313E3" w:rsidP="00F313E3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cs-CZ"/>
        </w:rPr>
        <w:t>Posuzování zdravotního stavu (§ 6d zák. č. 66/2022 Sb.)</w:t>
      </w:r>
    </w:p>
    <w:p w:rsidR="00F313E3" w:rsidRPr="00463A7E" w:rsidRDefault="00F313E3" w:rsidP="00F313E3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Okresní správa sociálního zabezpečení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žádost cizince s dočasnou ochranou posoudí, zda je tento cizinec osobou se zdravotním postižením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OSSZ posoudí zdravotní stav a vyhotoví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posudek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. Postupuje obdobně jako při posuzování zdravotního stavu a vyhotovení posudku pro účely průkazu osoby se zdravotním postižením.</w:t>
      </w:r>
    </w:p>
    <w:p w:rsidR="00F313E3" w:rsidRPr="00463A7E" w:rsidRDefault="00F313E3" w:rsidP="00F313E3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se podává elektronicky, obsahuje identifikační údaje žadatele a jméno a adresu ošetřujícího lékaře nebo lékařů v České republice</w:t>
      </w:r>
    </w:p>
    <w:p w:rsidR="00F313E3" w:rsidRPr="00463A7E" w:rsidRDefault="00F313E3" w:rsidP="00F313E3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OSSZ sdělí ÚP, zda je žadatel osobou se zdravotním postižením</w:t>
      </w:r>
    </w:p>
    <w:p w:rsidR="00F313E3" w:rsidRPr="00463A7E" w:rsidRDefault="00F313E3" w:rsidP="00F313E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13E3" w:rsidRPr="00463A7E" w:rsidRDefault="00F313E3" w:rsidP="00F313E3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cs-CZ"/>
        </w:rPr>
        <w:t>Zdravotní péče</w:t>
      </w:r>
    </w:p>
    <w:p w:rsidR="00F313E3" w:rsidRPr="00463A7E" w:rsidRDefault="00F313E3" w:rsidP="00F313E3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Zdravotní pojištění (§ 7 zák. 65/2022</w:t>
      </w:r>
      <w:r w:rsidR="00441D5F"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Sb.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:rsidR="00F313E3" w:rsidRPr="00463A7E" w:rsidRDefault="00F313E3" w:rsidP="00F3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Státními pojištěnci na VZP zůstávají i po 150 dnech ty osoby</w:t>
      </w:r>
      <w:r w:rsidR="00A92146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jejichž závažný zdravotní stav dlouhodobě neumožňuje výkon práce a tuto skutečnost doloží zdravotní pojišťovně výpisem ze zdravotnické dokumentace</w:t>
      </w:r>
    </w:p>
    <w:p w:rsidR="00F313E3" w:rsidRPr="00463A7E" w:rsidRDefault="00F313E3" w:rsidP="00F313E3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Poskytování ambulantní péče mimo zdravotnické zařízení (§ 7a zák. 65/2022)</w:t>
      </w:r>
    </w:p>
    <w:p w:rsidR="00F313E3" w:rsidRPr="00463A7E" w:rsidRDefault="00F313E3" w:rsidP="00F313E3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vláda může vyhlásit stav zdravotního ohrožení a umožnit poskytování ambulantní péče i mimo zdravotnické zařízení osobám s</w:t>
      </w:r>
      <w:r w:rsidR="00441D5F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 dočasnou ochranou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zejména v nouzovém ubytování</w:t>
      </w:r>
    </w:p>
    <w:p w:rsidR="00F313E3" w:rsidRPr="00463A7E" w:rsidRDefault="00F313E3" w:rsidP="00F313E3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poskytování ambula</w:t>
      </w:r>
      <w:r w:rsidR="00A92146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tní péče mimo zdravotnická zařízení musí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povolit krajský úřad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základě opatření, ve kterém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Ministerstvo zdravotnictví vyhlásí obory péče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, v nichž lze ambulantní péči mimo zdrav</w:t>
      </w:r>
      <w:r w:rsidR="00A92146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otnické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zařízení povolit</w:t>
      </w:r>
    </w:p>
    <w:p w:rsidR="00F313E3" w:rsidRPr="00463A7E" w:rsidRDefault="00F313E3" w:rsidP="00F313E3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zdravotní služby budou hrazeny zdravotní pojišťovnou na bázi paušální platby za den poskytování služby (úhradu upravuje § 7aa, odst. 4, zák. 65/2022)</w:t>
      </w:r>
    </w:p>
    <w:p w:rsidR="00F313E3" w:rsidRPr="00463A7E" w:rsidRDefault="00F313E3" w:rsidP="00F313E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13E3" w:rsidRPr="00463A7E" w:rsidRDefault="00F313E3" w:rsidP="00F313E3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cs-CZ"/>
        </w:rPr>
        <w:t>Evidence zaměstnávání osob s dočasnou ochranou</w:t>
      </w:r>
    </w:p>
    <w:p w:rsidR="00F313E3" w:rsidRPr="00463A7E" w:rsidRDefault="00F313E3" w:rsidP="00F313E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změna zákona č. 435/2004 Sb., o zaměstnanosti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(§ 136, 139, 140)</w:t>
      </w:r>
    </w:p>
    <w:p w:rsidR="00F313E3" w:rsidRPr="00463A7E" w:rsidRDefault="00F313E3" w:rsidP="0044169E">
      <w:pPr>
        <w:numPr>
          <w:ilvl w:val="0"/>
          <w:numId w:val="15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Česká správa sociálního zabezpečení vede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Evidenci zaměstnanců s dočasnou ochranou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rámci registru pojištěnců nemocenského pojištění podle § 122 zákona o nemocenském pojištění</w:t>
      </w:r>
    </w:p>
    <w:p w:rsidR="00F313E3" w:rsidRPr="00463A7E" w:rsidRDefault="00F313E3" w:rsidP="0044169E">
      <w:pPr>
        <w:numPr>
          <w:ilvl w:val="0"/>
          <w:numId w:val="15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zaměstnavatel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(fyzická nebo právnická osoba)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povinen do této evidence do 8 dnů nahlásit nástup zaměstnance, cizince s dočasnou ochranou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F313E3" w:rsidRPr="00463A7E" w:rsidRDefault="00F313E3" w:rsidP="0044169E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pracovním poměru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</w:t>
      </w:r>
    </w:p>
    <w:p w:rsidR="00F313E3" w:rsidRPr="00463A7E" w:rsidRDefault="00F313E3" w:rsidP="0044169E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činného na základě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dohody o pracovní činnosti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jehož zaměstnání je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zaměstnáním malého rozsahu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zákona o nemocenském pojištění, nebo </w:t>
      </w:r>
    </w:p>
    <w:p w:rsidR="00F313E3" w:rsidRPr="00463A7E" w:rsidRDefault="00F313E3" w:rsidP="0044169E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zaměstnance s dočasnou ochranou činného na základě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dohody o provedení práce</w:t>
      </w:r>
    </w:p>
    <w:p w:rsidR="00F313E3" w:rsidRPr="00463A7E" w:rsidRDefault="00F313E3" w:rsidP="0044169E">
      <w:pPr>
        <w:numPr>
          <w:ilvl w:val="0"/>
          <w:numId w:val="15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zaměstnavatel je povinen hlásit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změnu údajů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uvedených v oznámení o nástupu zaměstnance s</w:t>
      </w:r>
      <w:r w:rsidR="00441D5F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 dočasnou ochranou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nahlásit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den skončení zaměstnání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zaměstnance s dočasnou ochranou</w:t>
      </w:r>
    </w:p>
    <w:p w:rsidR="00F313E3" w:rsidRPr="00463A7E" w:rsidRDefault="00F313E3" w:rsidP="00F313E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Povinnosti zaměstnavatele zaměstnávajícího pouze zaměstnance s dočasnou ochranou:</w:t>
      </w:r>
    </w:p>
    <w:p w:rsidR="00F313E3" w:rsidRPr="00463A7E" w:rsidRDefault="00F313E3" w:rsidP="0044169E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§ 136 odst.</w:t>
      </w:r>
      <w:r w:rsidR="00441D5F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4: “Zaměstnavatel, který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není povinen se přihlásit do registru zaměstnavatelů podle § 93 zákona o nemocenském pojištění a který zaměstnává pouze zaměstnance s dočasnou ochranou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uvedené v odstavci 3,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povinen se přihlásit do registru zaměstnavatelů vedeného Českou správou sociálního zabezpečení podle § 123 zákona o nemocenském pojištění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nejpozději do 8 kalendářních dnů ode dne nástupu tohoto zaměstnance s dočasnou ochranou do zaměstnání, a to způsobem uvedeným v § 93 zákona o nemocenském pojištění. Stejným způsobem je zaměstnavatel povinen ohlásit změnu údajů, které byl povinen uvést podle věty první, a to do 8 kalendářních dnů ode dne, kdy tato změna nastala.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Zaměstnavatel, který zaměstnává pouze zaměstnance s dočasnou ochranou uvedené v odstavci 3, je dále povinen se odhlásit z registru zaměstnavatelů podle § 93 zákona o nemocenském pojištění 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ve lhůtě do 8 kalendářních dnů ode dne, kdy přestal být zaměstnavatelem těchto zaměstnanců s dočasnou ochranou, a to způsobem podle § 93 zákona o nemocenském pojištění.”</w:t>
      </w:r>
    </w:p>
    <w:p w:rsidR="00F313E3" w:rsidRPr="00463A7E" w:rsidRDefault="00F313E3" w:rsidP="00F313E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zaměstnavatelé nesplní povinnosti registrace zaměstnanců s</w:t>
      </w:r>
      <w:r w:rsidR="00A92146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 dočasnou ochranou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, dopustí se přestupku.</w:t>
      </w:r>
    </w:p>
    <w:p w:rsidR="00F313E3" w:rsidRPr="00463A7E" w:rsidRDefault="00F313E3" w:rsidP="00F313E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SÚIP a ÚP jsou oprávněny pro účely své činnosti získávat od České správy sociálního zabezpečení údaje o nástupu a skončení zaměstnání osob s</w:t>
      </w:r>
      <w:r w:rsidR="00A92146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 dočasnou ochranou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, druh výdělečné činnosti a název a sídlo zaměstnavatele.</w:t>
      </w:r>
    </w:p>
    <w:p w:rsidR="00F313E3" w:rsidRPr="00463A7E" w:rsidRDefault="00F313E3" w:rsidP="00F313E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 souladu s výše uvedenou registrační povinností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mění i zákon č. 187/2006 Sb., o nemocenském pojištění,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93 odst. 1 a § 94 odst. 1, který upřesňuje oznamování nástupu do zaměstnání, § 122 o registrech pojištěnců a § 123 o registrech zaměstnavatelů.</w:t>
      </w:r>
    </w:p>
    <w:p w:rsidR="00F313E3" w:rsidRPr="00463A7E" w:rsidRDefault="00F313E3" w:rsidP="00F313E3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Účinnost (dle důvodové zprávy)</w:t>
      </w:r>
    </w:p>
    <w:p w:rsidR="00F313E3" w:rsidRPr="00463A7E" w:rsidRDefault="00F313E3" w:rsidP="0044169E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Účinnost zákona se navrhuje s výjimkami stanovit dnem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dubna 2023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313E3" w:rsidRPr="00463A7E" w:rsidRDefault="00F313E3" w:rsidP="0044169E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Úpravy zákona č. 66/2022 Sb. se navrhují s účinností k 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červenci 2023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, s výjimkou ustanovení o prodloužení platnosti zákona č. 66/2022 Sb., které se navrhuje stanovit již dnem 31. března 2023, a ustanovení, které umožní s předstihem vznik informačního systému pro evidenci bytů pro cizince s</w:t>
      </w:r>
      <w:r w:rsidR="00441D5F"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 dočasnou ochranou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313E3" w:rsidRPr="00463A7E" w:rsidRDefault="00F313E3" w:rsidP="0044169E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Účinnost úpravy zákona č. 65/2022 Sb. se navrhuje k</w:t>
      </w:r>
      <w:r w:rsidRPr="00463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1. dubnu 2023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, s výjimkou ustanovení, kterým se z nouzového ubytování vyčleňují byty, důvodem je sladění účinnosti úprav zajišťujících finanční podporu v tomto typu bydlení.  K vyčlenění bytů ze systému ubytování, který je zajišťován prostřednictvím krajů, dochází s účinností k</w:t>
      </w:r>
      <w:r w:rsidRPr="00E47F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1. červenci 2023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Kraje získají dostatečný časový prostor pro ukončení případných smluv na tyto ubytovací kapacity, které se tak budou moci přesunout do evidence bytů, tj. systému, který bude spravovat Ministerstvo práce a sociálních věcí. </w:t>
      </w:r>
    </w:p>
    <w:p w:rsidR="00F313E3" w:rsidRPr="00463A7E" w:rsidRDefault="00F313E3" w:rsidP="0044169E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Zároveň je zakotvena dočasnost úpravy navrhované změny zákona č. 211/2000 Sb., o Státním fondu podpory investic, ve znění pozdějších předpisů, do </w:t>
      </w:r>
      <w:r w:rsidRPr="00E47F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31. března 2024</w:t>
      </w:r>
      <w:r w:rsidRPr="00463A7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6D7F" w:rsidRPr="00463A7E" w:rsidRDefault="00F66D7F" w:rsidP="00F313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731" w:rsidRPr="00486731" w:rsidRDefault="00486731" w:rsidP="00F313E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6731" w:rsidRPr="00486731" w:rsidSect="00F31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0DA9"/>
    <w:multiLevelType w:val="multilevel"/>
    <w:tmpl w:val="7600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F687E"/>
    <w:multiLevelType w:val="multilevel"/>
    <w:tmpl w:val="EF0A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D4DB7"/>
    <w:multiLevelType w:val="multilevel"/>
    <w:tmpl w:val="7B64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E7E6F"/>
    <w:multiLevelType w:val="multilevel"/>
    <w:tmpl w:val="9C24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F1A33"/>
    <w:multiLevelType w:val="multilevel"/>
    <w:tmpl w:val="B954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87F24"/>
    <w:multiLevelType w:val="multilevel"/>
    <w:tmpl w:val="B792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C41C9"/>
    <w:multiLevelType w:val="multilevel"/>
    <w:tmpl w:val="0FEE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9441F"/>
    <w:multiLevelType w:val="multilevel"/>
    <w:tmpl w:val="5510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D0EAA"/>
    <w:multiLevelType w:val="multilevel"/>
    <w:tmpl w:val="8734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47AE3"/>
    <w:multiLevelType w:val="multilevel"/>
    <w:tmpl w:val="6898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EC2A37"/>
    <w:multiLevelType w:val="multilevel"/>
    <w:tmpl w:val="7188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87244"/>
    <w:multiLevelType w:val="multilevel"/>
    <w:tmpl w:val="EF3C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854C22"/>
    <w:multiLevelType w:val="multilevel"/>
    <w:tmpl w:val="F418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2B23C3"/>
    <w:multiLevelType w:val="multilevel"/>
    <w:tmpl w:val="3A9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1F3A84"/>
    <w:multiLevelType w:val="multilevel"/>
    <w:tmpl w:val="28AE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790D1A"/>
    <w:multiLevelType w:val="multilevel"/>
    <w:tmpl w:val="ABF8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23286A"/>
    <w:multiLevelType w:val="multilevel"/>
    <w:tmpl w:val="2864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6"/>
  </w:num>
  <w:num w:numId="7">
    <w:abstractNumId w:val="14"/>
  </w:num>
  <w:num w:numId="8">
    <w:abstractNumId w:val="7"/>
  </w:num>
  <w:num w:numId="9">
    <w:abstractNumId w:val="10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  <w:num w:numId="14">
    <w:abstractNumId w:val="5"/>
  </w:num>
  <w:num w:numId="15">
    <w:abstractNumId w:val="4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E3"/>
    <w:rsid w:val="000C4915"/>
    <w:rsid w:val="0044169E"/>
    <w:rsid w:val="00441D5F"/>
    <w:rsid w:val="00463A7E"/>
    <w:rsid w:val="00476600"/>
    <w:rsid w:val="00486731"/>
    <w:rsid w:val="00A92146"/>
    <w:rsid w:val="00BD4598"/>
    <w:rsid w:val="00E47F23"/>
    <w:rsid w:val="00F313E3"/>
    <w:rsid w:val="00F66D7F"/>
    <w:rsid w:val="00FB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2B759-CC8D-41D7-BEF0-7AC74AD3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31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31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31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13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313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313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13E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8673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867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76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1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634">
          <w:blockQuote w:val="1"/>
          <w:marLeft w:val="720"/>
          <w:marRight w:val="7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8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4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6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5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3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0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2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3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2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5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9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2275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Boňatovský</dc:creator>
  <cp:keywords/>
  <dc:description/>
  <cp:lastModifiedBy>Ing. Marcel Kucr</cp:lastModifiedBy>
  <cp:revision>10</cp:revision>
  <dcterms:created xsi:type="dcterms:W3CDTF">2023-03-07T11:26:00Z</dcterms:created>
  <dcterms:modified xsi:type="dcterms:W3CDTF">2023-03-22T09:49:00Z</dcterms:modified>
</cp:coreProperties>
</file>